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66D1" w14:textId="77777777" w:rsidR="002846BC" w:rsidRDefault="002846BC" w:rsidP="002846BC">
      <w:pPr>
        <w:jc w:val="center"/>
        <w:rPr>
          <w:rFonts w:ascii="Arial" w:hAnsi="Arial" w:cs="Arial"/>
          <w:b/>
        </w:rPr>
      </w:pPr>
      <w:r w:rsidRPr="00CA51D0">
        <w:rPr>
          <w:rFonts w:ascii="Arial" w:hAnsi="Arial" w:cs="Arial"/>
          <w:b/>
        </w:rPr>
        <w:t xml:space="preserve">Aviso de Privacidad para el Registro Estatal </w:t>
      </w:r>
      <w:r>
        <w:rPr>
          <w:rFonts w:ascii="Arial" w:hAnsi="Arial" w:cs="Arial"/>
          <w:b/>
        </w:rPr>
        <w:t>Pirotécnico</w:t>
      </w:r>
      <w:r w:rsidRPr="00CA51D0">
        <w:rPr>
          <w:rFonts w:ascii="Arial" w:hAnsi="Arial" w:cs="Arial"/>
          <w:b/>
        </w:rPr>
        <w:t xml:space="preserve"> del Instituto Mexiquense de la Pirotecnia </w:t>
      </w:r>
    </w:p>
    <w:p w14:paraId="513720BD" w14:textId="77777777" w:rsidR="002846BC" w:rsidRDefault="002846BC" w:rsidP="002846BC">
      <w:pPr>
        <w:jc w:val="both"/>
        <w:rPr>
          <w:rFonts w:ascii="Arial" w:hAnsi="Arial" w:cs="Arial"/>
          <w:b/>
        </w:rPr>
      </w:pPr>
      <w:r w:rsidRPr="00DF6B8A">
        <w:rPr>
          <w:rFonts w:ascii="Arial" w:hAnsi="Arial" w:cs="Arial"/>
          <w:b/>
        </w:rPr>
        <w:t>I. La denominación del responsable.</w:t>
      </w:r>
    </w:p>
    <w:p w14:paraId="4AEFD112" w14:textId="77777777" w:rsidR="002846BC" w:rsidRDefault="002846BC" w:rsidP="002846BC">
      <w:pPr>
        <w:jc w:val="both"/>
        <w:rPr>
          <w:rFonts w:ascii="Arial" w:hAnsi="Arial" w:cs="Arial"/>
        </w:rPr>
      </w:pPr>
      <w:r>
        <w:rPr>
          <w:rFonts w:ascii="Arial" w:hAnsi="Arial" w:cs="Arial"/>
        </w:rPr>
        <w:t>Instituto Mexiquense de l</w:t>
      </w:r>
      <w:r w:rsidRPr="00DF6B8A">
        <w:rPr>
          <w:rFonts w:ascii="Arial" w:hAnsi="Arial" w:cs="Arial"/>
        </w:rPr>
        <w:t>a Pirotecnia</w:t>
      </w:r>
      <w:r>
        <w:rPr>
          <w:rFonts w:ascii="Arial" w:hAnsi="Arial" w:cs="Arial"/>
        </w:rPr>
        <w:t xml:space="preserve"> (IMEPI)</w:t>
      </w:r>
    </w:p>
    <w:p w14:paraId="6D347448" w14:textId="77777777" w:rsidR="002846BC" w:rsidRPr="007A2BBD" w:rsidRDefault="002846BC" w:rsidP="002846BC">
      <w:pPr>
        <w:jc w:val="both"/>
        <w:rPr>
          <w:rFonts w:ascii="Arial" w:hAnsi="Arial" w:cs="Arial"/>
          <w:b/>
        </w:rPr>
      </w:pPr>
      <w:r w:rsidRPr="002846BC">
        <w:rPr>
          <w:rFonts w:ascii="Arial" w:hAnsi="Arial" w:cs="Arial"/>
          <w:b/>
        </w:rPr>
        <w:t>VII. Las finalidades del tratamiento para las cuales se obtienen los datos personales, distinguiendo aquéllas que requieran el consentimiento de la o el titular.</w:t>
      </w:r>
      <w:r w:rsidRPr="007A2BBD">
        <w:rPr>
          <w:rFonts w:ascii="Arial" w:hAnsi="Arial" w:cs="Arial"/>
          <w:b/>
        </w:rPr>
        <w:t xml:space="preserve"> </w:t>
      </w:r>
    </w:p>
    <w:p w14:paraId="5353CA20" w14:textId="77777777" w:rsidR="00DD03EB" w:rsidRDefault="00DD03EB" w:rsidP="00DD03EB">
      <w:pPr>
        <w:pStyle w:val="Prrafodelista"/>
        <w:numPr>
          <w:ilvl w:val="0"/>
          <w:numId w:val="1"/>
        </w:numPr>
        <w:jc w:val="both"/>
        <w:rPr>
          <w:rFonts w:ascii="Arial" w:hAnsi="Arial" w:cs="Arial"/>
          <w:bCs/>
          <w:lang w:val="es-ES"/>
        </w:rPr>
      </w:pPr>
      <w:r w:rsidRPr="00676E2B">
        <w:rPr>
          <w:rFonts w:ascii="Arial" w:hAnsi="Arial" w:cs="Arial"/>
          <w:b/>
          <w:bCs/>
          <w:lang w:val="es-ES"/>
        </w:rPr>
        <w:t>Finalidad principal de tratamiento</w:t>
      </w:r>
      <w:r w:rsidRPr="00676E2B">
        <w:rPr>
          <w:rFonts w:ascii="Arial" w:hAnsi="Arial" w:cs="Arial"/>
          <w:bCs/>
          <w:lang w:val="es-ES"/>
        </w:rPr>
        <w:t xml:space="preserve">: </w:t>
      </w:r>
      <w:r>
        <w:rPr>
          <w:rFonts w:ascii="Arial" w:hAnsi="Arial" w:cs="Arial"/>
          <w:bCs/>
          <w:lang w:val="es-ES"/>
        </w:rPr>
        <w:t>Q</w:t>
      </w:r>
      <w:r w:rsidRPr="00676E2B">
        <w:rPr>
          <w:rFonts w:ascii="Arial" w:hAnsi="Arial" w:cs="Arial"/>
          <w:bCs/>
          <w:lang w:val="es-ES"/>
        </w:rPr>
        <w:t>ue el Estado de México, cuente con un padrón de personas físicas y jurídicas colectivas que fabriquen, usen, vendan, transporten, almacenen y exhiban artículos pirotécnicos y sustancias para su elaboración</w:t>
      </w:r>
      <w:r>
        <w:rPr>
          <w:rFonts w:ascii="Arial" w:hAnsi="Arial" w:cs="Arial"/>
          <w:bCs/>
          <w:lang w:val="es-ES"/>
        </w:rPr>
        <w:t>, con el objeto de contar con un padrón de la actividad pirotécnica en el Estado de México.</w:t>
      </w:r>
    </w:p>
    <w:p w14:paraId="507E16D3" w14:textId="77777777" w:rsidR="00DD03EB" w:rsidRDefault="00DD03EB" w:rsidP="00DD03EB">
      <w:pPr>
        <w:pStyle w:val="Prrafodelista"/>
        <w:numPr>
          <w:ilvl w:val="0"/>
          <w:numId w:val="1"/>
        </w:numPr>
        <w:jc w:val="both"/>
        <w:rPr>
          <w:rFonts w:ascii="Arial" w:hAnsi="Arial" w:cs="Arial"/>
          <w:bCs/>
          <w:lang w:val="es-ES"/>
        </w:rPr>
      </w:pPr>
      <w:r>
        <w:rPr>
          <w:rFonts w:ascii="Arial" w:hAnsi="Arial" w:cs="Arial"/>
          <w:b/>
          <w:bCs/>
          <w:lang w:val="es-ES"/>
        </w:rPr>
        <w:t>Finalidad Secundaria</w:t>
      </w:r>
      <w:r w:rsidRPr="008C35E0">
        <w:rPr>
          <w:rFonts w:ascii="Arial" w:hAnsi="Arial" w:cs="Arial"/>
          <w:bCs/>
          <w:lang w:val="es-ES"/>
        </w:rPr>
        <w:t>:</w:t>
      </w:r>
      <w:r>
        <w:rPr>
          <w:rFonts w:ascii="Arial" w:hAnsi="Arial" w:cs="Arial"/>
          <w:bCs/>
          <w:lang w:val="es-ES"/>
        </w:rPr>
        <w:t xml:space="preserve"> </w:t>
      </w:r>
    </w:p>
    <w:p w14:paraId="103E7765" w14:textId="77777777" w:rsidR="00DD03EB" w:rsidRDefault="00DD03EB" w:rsidP="00DD03EB">
      <w:pPr>
        <w:pStyle w:val="Prrafodelista"/>
        <w:numPr>
          <w:ilvl w:val="0"/>
          <w:numId w:val="2"/>
        </w:numPr>
        <w:jc w:val="both"/>
        <w:rPr>
          <w:rFonts w:ascii="Arial" w:hAnsi="Arial" w:cs="Arial"/>
          <w:bCs/>
          <w:lang w:val="es-ES"/>
        </w:rPr>
      </w:pPr>
      <w:r>
        <w:rPr>
          <w:rFonts w:ascii="Arial" w:hAnsi="Arial" w:cs="Arial"/>
          <w:bCs/>
          <w:lang w:val="es-ES"/>
        </w:rPr>
        <w:t xml:space="preserve">Proporcionar una identificación mediante la cual acredite al permisionario que </w:t>
      </w:r>
      <w:proofErr w:type="spellStart"/>
      <w:r>
        <w:rPr>
          <w:rFonts w:ascii="Arial" w:hAnsi="Arial" w:cs="Arial"/>
          <w:bCs/>
          <w:lang w:val="es-ES"/>
        </w:rPr>
        <w:t>esta</w:t>
      </w:r>
      <w:proofErr w:type="spellEnd"/>
      <w:r>
        <w:rPr>
          <w:rFonts w:ascii="Arial" w:hAnsi="Arial" w:cs="Arial"/>
          <w:bCs/>
          <w:lang w:val="es-ES"/>
        </w:rPr>
        <w:t xml:space="preserve"> dentro de la normatividad vigente en la materia.</w:t>
      </w:r>
    </w:p>
    <w:p w14:paraId="47770FE5" w14:textId="77777777" w:rsidR="00DD03EB" w:rsidRDefault="00DD03EB" w:rsidP="00DD03EB">
      <w:pPr>
        <w:pStyle w:val="Prrafodelista"/>
        <w:numPr>
          <w:ilvl w:val="0"/>
          <w:numId w:val="2"/>
        </w:numPr>
        <w:jc w:val="both"/>
        <w:rPr>
          <w:rFonts w:ascii="Arial" w:hAnsi="Arial" w:cs="Arial"/>
          <w:bCs/>
          <w:lang w:val="es-ES"/>
        </w:rPr>
      </w:pPr>
      <w:r w:rsidRPr="003116B7">
        <w:rPr>
          <w:rFonts w:ascii="Arial" w:hAnsi="Arial" w:cs="Arial"/>
          <w:lang w:val="es-ES"/>
        </w:rPr>
        <w:t>Geolocalización:</w:t>
      </w:r>
      <w:r w:rsidRPr="009B6A1F">
        <w:rPr>
          <w:rFonts w:ascii="Arial" w:hAnsi="Arial" w:cs="Arial"/>
          <w:bCs/>
          <w:lang w:val="es-ES"/>
        </w:rPr>
        <w:t xml:space="preserve"> </w:t>
      </w:r>
      <w:bookmarkStart w:id="0" w:name="_Hlk149731589"/>
      <w:r w:rsidRPr="009B6A1F">
        <w:rPr>
          <w:rFonts w:ascii="Arial" w:hAnsi="Arial" w:cs="Arial"/>
          <w:bCs/>
          <w:lang w:val="es-ES"/>
        </w:rPr>
        <w:t>Obtener las coordenadas de los centros de fabricación y comercialización que se visiten, con el objeto de ubicarlos con mayor precisión en caso de accidentes.</w:t>
      </w:r>
      <w:bookmarkEnd w:id="0"/>
    </w:p>
    <w:p w14:paraId="3DA9927E" w14:textId="77777777" w:rsidR="00DD03EB" w:rsidRPr="009B6A1F" w:rsidRDefault="00DD03EB" w:rsidP="00DD03EB">
      <w:pPr>
        <w:pStyle w:val="Prrafodelista"/>
        <w:numPr>
          <w:ilvl w:val="0"/>
          <w:numId w:val="2"/>
        </w:numPr>
        <w:jc w:val="both"/>
        <w:rPr>
          <w:rFonts w:ascii="Arial" w:hAnsi="Arial" w:cs="Arial"/>
          <w:bCs/>
          <w:lang w:val="es-ES"/>
        </w:rPr>
      </w:pPr>
      <w:bookmarkStart w:id="1" w:name="_Hlk149731619"/>
      <w:r w:rsidRPr="009B6A1F">
        <w:rPr>
          <w:rFonts w:ascii="Arial" w:hAnsi="Arial" w:cs="Arial"/>
          <w:bCs/>
          <w:lang w:val="es-ES"/>
        </w:rPr>
        <w:t>Llevar un registro histórico del sector pirotécnico atreves de los años</w:t>
      </w:r>
    </w:p>
    <w:bookmarkEnd w:id="1"/>
    <w:p w14:paraId="2D65BE7F" w14:textId="77777777" w:rsidR="00DD03EB" w:rsidRPr="009E33E0" w:rsidRDefault="00DD03EB" w:rsidP="00DD03EB">
      <w:pPr>
        <w:jc w:val="both"/>
        <w:rPr>
          <w:rFonts w:ascii="Arial" w:hAnsi="Arial" w:cs="Arial"/>
          <w:bCs/>
          <w:lang w:val="es-ES"/>
        </w:rPr>
      </w:pPr>
      <w:r w:rsidRPr="004452CD">
        <w:rPr>
          <w:rFonts w:ascii="Arial" w:hAnsi="Arial" w:cs="Arial"/>
          <w:bCs/>
          <w:lang w:val="es-ES"/>
        </w:rPr>
        <w:t>Finalmente, de manera general, se creará un expediente, en el cual se incluirá la información r</w:t>
      </w:r>
      <w:r>
        <w:rPr>
          <w:rFonts w:ascii="Arial" w:hAnsi="Arial" w:cs="Arial"/>
          <w:bCs/>
          <w:lang w:val="es-ES"/>
        </w:rPr>
        <w:t xml:space="preserve">elativa a su registro, basado en los aspectos requeridos por la institución. </w:t>
      </w:r>
      <w:r w:rsidRPr="00EC28D6">
        <w:rPr>
          <w:rFonts w:ascii="Arial" w:hAnsi="Arial" w:cs="Arial"/>
          <w:bCs/>
          <w:lang w:val="es-ES"/>
        </w:rPr>
        <w:t xml:space="preserve">Se hace de su conocimiento que los datos personales proporcionados de manera interna también serán utilizados para efectos </w:t>
      </w:r>
      <w:r w:rsidRPr="009E33E0">
        <w:rPr>
          <w:rFonts w:ascii="Arial" w:hAnsi="Arial" w:cs="Arial"/>
          <w:bCs/>
          <w:lang w:val="es-ES"/>
        </w:rPr>
        <w:t>de control interno y la información podrá ser conservada para integrar el archivo histórico de la misma base de datos para fines estadísticos.</w:t>
      </w:r>
    </w:p>
    <w:p w14:paraId="2DBAD473" w14:textId="77777777" w:rsidR="002846BC" w:rsidRPr="007A2BBD" w:rsidRDefault="002846BC" w:rsidP="002846BC">
      <w:pPr>
        <w:jc w:val="both"/>
        <w:rPr>
          <w:rFonts w:ascii="Arial" w:hAnsi="Arial" w:cs="Arial"/>
          <w:b/>
        </w:rPr>
      </w:pPr>
      <w:r w:rsidRPr="002846BC">
        <w:rPr>
          <w:rFonts w:ascii="Arial" w:hAnsi="Arial" w:cs="Arial"/>
          <w:b/>
        </w:rPr>
        <w:t>VIII. Cuando se realicen transferencias de datos personales se informará:</w:t>
      </w:r>
    </w:p>
    <w:p w14:paraId="73750CBA" w14:textId="77777777" w:rsidR="002846BC" w:rsidRDefault="002846BC" w:rsidP="002846BC">
      <w:pPr>
        <w:jc w:val="both"/>
        <w:rPr>
          <w:rFonts w:ascii="Arial" w:hAnsi="Arial" w:cs="Arial"/>
          <w:bCs/>
          <w:lang w:val="es-ES"/>
        </w:rPr>
      </w:pPr>
      <w:r w:rsidRPr="007A2BBD">
        <w:rPr>
          <w:rFonts w:ascii="Arial" w:hAnsi="Arial" w:cs="Arial"/>
          <w:bCs/>
          <w:lang w:val="es-ES"/>
        </w:rPr>
        <w:t>El Instituto Mexiquense de la Pirotecnia del Estado de México, no realiza transferencias de datos personales; por tanto, no aplica.</w:t>
      </w:r>
      <w:r>
        <w:rPr>
          <w:rFonts w:ascii="Arial" w:hAnsi="Arial" w:cs="Arial"/>
          <w:bCs/>
          <w:lang w:val="es-ES"/>
        </w:rPr>
        <w:t xml:space="preserve"> </w:t>
      </w:r>
    </w:p>
    <w:p w14:paraId="6C762A50" w14:textId="77777777" w:rsidR="002846BC" w:rsidRPr="00676E2B" w:rsidRDefault="002846BC" w:rsidP="002846BC">
      <w:pPr>
        <w:jc w:val="both"/>
        <w:rPr>
          <w:rFonts w:ascii="Arial" w:hAnsi="Arial" w:cs="Arial"/>
          <w:bCs/>
        </w:rPr>
      </w:pPr>
      <w:r w:rsidRPr="00676E2B">
        <w:rPr>
          <w:rFonts w:ascii="Arial" w:hAnsi="Arial" w:cs="Arial"/>
          <w:bCs/>
        </w:rPr>
        <w:t>Cabe señalar que en términos del artículo 21 de la Ley, sus datos no podrán ser transmitidos o difundidos a persona alguna. Se le informa que no se consideran transmisiones las efectuadas entre el responsable y el encargado de los datos personales y las realizadas entre unidades administrativas adscritas al mismo sujeto obligado en el ejercicio de sus atribuciones. 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14:paraId="0C422AE3" w14:textId="77777777" w:rsidR="002846BC" w:rsidRPr="00676E2B" w:rsidRDefault="002846BC" w:rsidP="002846BC">
      <w:pPr>
        <w:jc w:val="both"/>
        <w:rPr>
          <w:rFonts w:ascii="Arial" w:hAnsi="Arial" w:cs="Arial"/>
          <w:b/>
          <w:bCs/>
        </w:rPr>
      </w:pPr>
      <w:r>
        <w:rPr>
          <w:rFonts w:ascii="Arial" w:hAnsi="Arial" w:cs="Arial"/>
          <w:b/>
          <w:bCs/>
        </w:rPr>
        <w:lastRenderedPageBreak/>
        <w:t>I</w:t>
      </w:r>
      <w:r w:rsidRPr="00676E2B">
        <w:rPr>
          <w:rFonts w:ascii="Arial" w:hAnsi="Arial" w:cs="Arial"/>
          <w:b/>
          <w:bCs/>
        </w:rPr>
        <w:t>X. Los mecanismos y medios estarán disponibles para el uso previo al tratamiento de los datos personales, para que la o el titular, pueda manifestar su negativa para la finalidad y transferencia que requieran el consentimiento de la o el titular.</w:t>
      </w:r>
    </w:p>
    <w:p w14:paraId="617408A0" w14:textId="77777777" w:rsidR="002846BC" w:rsidRPr="002846BC" w:rsidRDefault="002846BC" w:rsidP="002846BC">
      <w:pPr>
        <w:jc w:val="both"/>
        <w:rPr>
          <w:rFonts w:ascii="Arial" w:hAnsi="Arial" w:cs="Arial"/>
          <w:bCs/>
          <w:lang w:val="es-ES"/>
        </w:rPr>
      </w:pPr>
      <w:r w:rsidRPr="007A2BBD">
        <w:rPr>
          <w:rFonts w:ascii="Arial" w:hAnsi="Arial" w:cs="Arial"/>
          <w:bCs/>
          <w:lang w:val="es-ES"/>
        </w:rPr>
        <w:t>No existen mecanismos para que el titular manifieste su negativa para la finalidad y trasferencia, sin perjuicio, de que el titular puede ejercer su derecho de oposición de datos personales en los términos previstos por el artículo 103 de la ley de la materia.</w:t>
      </w:r>
    </w:p>
    <w:p w14:paraId="3B7BCAE0" w14:textId="77777777" w:rsidR="000A66DA" w:rsidRDefault="000A66DA"/>
    <w:sectPr w:rsidR="006B0DF1" w:rsidSect="002846BC">
      <w:headerReference w:type="default" r:id="rId7"/>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5F0F" w14:textId="77777777" w:rsidR="003676B2" w:rsidRDefault="003676B2" w:rsidP="002846BC">
      <w:pPr>
        <w:spacing w:after="0" w:line="240" w:lineRule="auto"/>
      </w:pPr>
      <w:r>
        <w:separator/>
      </w:r>
    </w:p>
  </w:endnote>
  <w:endnote w:type="continuationSeparator" w:id="0">
    <w:p w14:paraId="4DC73D5D" w14:textId="77777777" w:rsidR="003676B2" w:rsidRDefault="003676B2" w:rsidP="0028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CAAB" w14:textId="77777777" w:rsidR="003676B2" w:rsidRDefault="003676B2" w:rsidP="002846BC">
      <w:pPr>
        <w:spacing w:after="0" w:line="240" w:lineRule="auto"/>
      </w:pPr>
      <w:r>
        <w:separator/>
      </w:r>
    </w:p>
  </w:footnote>
  <w:footnote w:type="continuationSeparator" w:id="0">
    <w:p w14:paraId="3B5837C7" w14:textId="77777777" w:rsidR="003676B2" w:rsidRDefault="003676B2" w:rsidP="00284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B6E4" w14:textId="77777777" w:rsidR="002846BC" w:rsidRDefault="002846BC">
    <w:pPr>
      <w:pStyle w:val="Encabezado"/>
    </w:pPr>
    <w:r w:rsidRPr="002846BC">
      <w:rPr>
        <w:noProof/>
      </w:rPr>
      <mc:AlternateContent>
        <mc:Choice Requires="wps">
          <w:drawing>
            <wp:anchor distT="0" distB="0" distL="114300" distR="114300" simplePos="0" relativeHeight="251660288" behindDoc="0" locked="0" layoutInCell="1" allowOverlap="1" wp14:anchorId="73013E67" wp14:editId="11C3D9FA">
              <wp:simplePos x="0" y="0"/>
              <wp:positionH relativeFrom="column">
                <wp:posOffset>4457700</wp:posOffset>
              </wp:positionH>
              <wp:positionV relativeFrom="paragraph">
                <wp:posOffset>198120</wp:posOffset>
              </wp:positionV>
              <wp:extent cx="1609725" cy="2857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bg1"/>
                      </a:solidFill>
                      <a:ln w="6350">
                        <a:noFill/>
                      </a:ln>
                    </wps:spPr>
                    <wps:txbx>
                      <w:txbxContent>
                        <w:p w14:paraId="487F78AA" w14:textId="77777777" w:rsidR="002846BC" w:rsidRDefault="002846BC" w:rsidP="0028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013E67" id="_x0000_t202" coordsize="21600,21600" o:spt="202" path="m,l,21600r21600,l21600,xe">
              <v:stroke joinstyle="miter"/>
              <v:path gradientshapeok="t" o:connecttype="rect"/>
            </v:shapetype>
            <v:shape id="Cuadro de texto 2" o:spid="_x0000_s1026" type="#_x0000_t202" style="position:absolute;margin-left:351pt;margin-top:15.6pt;width:12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MPLQ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5N0/vZaEIJR9vobjKbRFyT62tjnf8qoCZByKlFWiJa&#10;7LhxHjOi69klJHOgqmJdKRWVMApipSw5MiRxt4814ovfvJQmTU6nnzF1eKQhPO8iK40Jrj0Fybe7&#10;tm90B8UJ+7fQjYYzfF1hkRvm/AuzOAvYMs63f8ZDKsAk0EuUlGB//u0++CNFaKWkwdnKqftxYFZQ&#10;or5pJO9+OB6HYYzKeDIboWJvLbtbiz7UK8DOh7hJhkcx+Ht1FqWF+g3XYBmyoolpjrlz6s/iyncT&#10;j2vExXIZnXD8DPMbvTU8hA6gBQpe2zdmTc+TR4af4DyFLHtHV+fbwb08eJBV5DIA3KHa446jGynu&#10;1yzsxq0eva4/g8UvAAAA//8DAFBLAwQUAAYACAAAACEAqtVZs90AAAAJAQAADwAAAGRycy9kb3du&#10;cmV2LnhtbEyPQU/CQBSE7yb+h80j8SZbSopauyVI5GxsPXhcus+20H3bdBco/fU8T3qczGTmm2w9&#10;2k6ccfCtIwWLeQQCqXKmpVrBV7l7fAbhgyajO0eo4Ioe1vn9XaZT4y70ieci1IJLyKdaQRNCn0rp&#10;qwat9nPXI7H34warA8uhlmbQFy63nYyjaCWtbokXGt3jtsHqWJws77ry/Thtgix3FRZvJpkOH9+T&#10;Ug+zcfMKIuAY/sLwi8/okDPT3p3IeNEpeIpi/hIULBcxCA68JEkCYs/OKgaZZ/L/g/wGAAD//wMA&#10;UEsBAi0AFAAGAAgAAAAhALaDOJL+AAAA4QEAABMAAAAAAAAAAAAAAAAAAAAAAFtDb250ZW50X1R5&#10;cGVzXS54bWxQSwECLQAUAAYACAAAACEAOP0h/9YAAACUAQAACwAAAAAAAAAAAAAAAAAvAQAAX3Jl&#10;bHMvLnJlbHNQSwECLQAUAAYACAAAACEAi3BTDy0CAABUBAAADgAAAAAAAAAAAAAAAAAuAgAAZHJz&#10;L2Uyb0RvYy54bWxQSwECLQAUAAYACAAAACEAqtVZs90AAAAJAQAADwAAAAAAAAAAAAAAAACHBAAA&#10;ZHJzL2Rvd25yZXYueG1sUEsFBgAAAAAEAAQA8wAAAJEFAAAAAA==&#10;" fillcolor="white [3212]" stroked="f" strokeweight=".5pt">
              <v:textbox>
                <w:txbxContent>
                  <w:p w14:paraId="487F78AA" w14:textId="77777777" w:rsidR="002846BC" w:rsidRDefault="002846BC" w:rsidP="002846BC"/>
                </w:txbxContent>
              </v:textbox>
            </v:shape>
          </w:pict>
        </mc:Fallback>
      </mc:AlternateContent>
    </w:r>
    <w:r w:rsidRPr="002846BC">
      <w:rPr>
        <w:noProof/>
      </w:rPr>
      <w:drawing>
        <wp:anchor distT="0" distB="0" distL="114300" distR="114300" simplePos="0" relativeHeight="251659264" behindDoc="1" locked="0" layoutInCell="1" allowOverlap="1" wp14:anchorId="218DF64F" wp14:editId="5E2EE7CC">
          <wp:simplePos x="0" y="0"/>
          <wp:positionH relativeFrom="page">
            <wp:align>right</wp:align>
          </wp:positionH>
          <wp:positionV relativeFrom="paragraph">
            <wp:posOffset>-438785</wp:posOffset>
          </wp:positionV>
          <wp:extent cx="7757160" cy="1003808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3290"/>
                  <a:stretch/>
                </pic:blipFill>
                <pic:spPr bwMode="auto">
                  <a:xfrm>
                    <a:off x="0" y="0"/>
                    <a:ext cx="7757160" cy="1003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1BEC"/>
    <w:multiLevelType w:val="hybridMultilevel"/>
    <w:tmpl w:val="C27CB2D2"/>
    <w:lvl w:ilvl="0" w:tplc="C96E1106">
      <w:start w:val="1"/>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23606E"/>
    <w:multiLevelType w:val="hybridMultilevel"/>
    <w:tmpl w:val="3C1A031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32388540">
    <w:abstractNumId w:val="0"/>
  </w:num>
  <w:num w:numId="2" w16cid:durableId="141026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BC"/>
    <w:rsid w:val="002846BC"/>
    <w:rsid w:val="003676B2"/>
    <w:rsid w:val="00CB0EA9"/>
    <w:rsid w:val="00DB7F00"/>
    <w:rsid w:val="00DD0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0A422"/>
  <w15:chartTrackingRefBased/>
  <w15:docId w15:val="{7F858C67-0055-414A-88B5-3EC75F57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6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46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6BC"/>
  </w:style>
  <w:style w:type="paragraph" w:styleId="Piedepgina">
    <w:name w:val="footer"/>
    <w:basedOn w:val="Normal"/>
    <w:link w:val="PiedepginaCar"/>
    <w:uiPriority w:val="99"/>
    <w:unhideWhenUsed/>
    <w:rsid w:val="002846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6BC"/>
  </w:style>
  <w:style w:type="paragraph" w:styleId="Prrafodelista">
    <w:name w:val="List Paragraph"/>
    <w:basedOn w:val="Normal"/>
    <w:uiPriority w:val="34"/>
    <w:qFormat/>
    <w:rsid w:val="0028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2567</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Imepi</dc:creator>
  <cp:keywords/>
  <dc:description/>
  <cp:lastModifiedBy>Mariana Monroy Cardenas</cp:lastModifiedBy>
  <cp:revision>3</cp:revision>
  <dcterms:created xsi:type="dcterms:W3CDTF">2023-10-31T23:00:00Z</dcterms:created>
  <dcterms:modified xsi:type="dcterms:W3CDTF">2023-11-06T16:02:00Z</dcterms:modified>
</cp:coreProperties>
</file>